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emf" ContentType="image/x-emf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b/>
          <w:b/>
        </w:rPr>
      </w:pPr>
      <w:r>
        <w:rPr>
          <w:rFonts w:ascii="Liberation Serif" w:hAnsi="Liberation Serif"/>
          <w:b/>
        </w:rPr>
        <w:t>Обоснование расчета плановой цены</w:t>
      </w:r>
    </w:p>
    <w:p>
      <w:pPr>
        <w:pStyle w:val="Normal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120"/>
        <w:rPr>
          <w:rFonts w:ascii="Times New Roman" w:hAnsi="Times New Roman"/>
          <w:b/>
          <w:b/>
          <w:sz w:val="20"/>
          <w:szCs w:val="20"/>
        </w:rPr>
      </w:pPr>
      <w:r>
        <w:rPr>
          <w:rFonts w:ascii="Liberation Serif" w:hAnsi="Liberation Serif"/>
          <w:b/>
          <w:sz w:val="20"/>
          <w:szCs w:val="20"/>
        </w:rPr>
        <w:t>Общая информация</w:t>
      </w:r>
    </w:p>
    <w:tbl>
      <w:tblPr>
        <w:tblStyle w:val="a3"/>
        <w:tblW w:w="9527" w:type="dxa"/>
        <w:jc w:val="left"/>
        <w:tblInd w:w="-44" w:type="dxa"/>
        <w:tblCellMar>
          <w:top w:w="0" w:type="dxa"/>
          <w:left w:w="9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704"/>
        <w:gridCol w:w="3720"/>
        <w:gridCol w:w="5103"/>
      </w:tblGrid>
      <w:tr>
        <w:trPr/>
        <w:tc>
          <w:tcPr>
            <w:tcW w:w="704" w:type="dxa"/>
            <w:tcBorders/>
            <w:shd w:fill="auto" w:val="clear"/>
            <w:tcMar>
              <w:left w:w="98" w:type="dxa"/>
            </w:tcMar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Times New Roman" w:ascii="Liberation Serif" w:hAnsi="Liberation Serif"/>
                <w:sz w:val="20"/>
                <w:szCs w:val="20"/>
              </w:rPr>
              <w:t xml:space="preserve">№ </w:t>
            </w:r>
            <w:r>
              <w:rPr>
                <w:rFonts w:eastAsia="Calibri" w:cs="Times New Roman" w:ascii="Liberation Serif" w:hAnsi="Liberation Serif"/>
                <w:sz w:val="20"/>
                <w:szCs w:val="20"/>
              </w:rPr>
              <w:t>п/п</w:t>
            </w:r>
          </w:p>
        </w:tc>
        <w:tc>
          <w:tcPr>
            <w:tcW w:w="3720" w:type="dxa"/>
            <w:tcBorders/>
            <w:shd w:fill="auto" w:val="clear"/>
            <w:tcMar>
              <w:left w:w="98" w:type="dxa"/>
            </w:tcMar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Times New Roman" w:ascii="Liberation Serif" w:hAnsi="Liberation Serif"/>
                <w:sz w:val="20"/>
                <w:szCs w:val="20"/>
              </w:rPr>
              <w:t>Наименование</w:t>
            </w:r>
          </w:p>
        </w:tc>
        <w:tc>
          <w:tcPr>
            <w:tcW w:w="5103" w:type="dxa"/>
            <w:tcBorders/>
            <w:shd w:fill="auto" w:val="clear"/>
            <w:tcMar>
              <w:left w:w="98" w:type="dxa"/>
            </w:tcMar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Times New Roman" w:ascii="Liberation Serif" w:hAnsi="Liberation Serif"/>
                <w:sz w:val="20"/>
                <w:szCs w:val="20"/>
              </w:rPr>
              <w:t>Информация по лоту</w:t>
            </w:r>
          </w:p>
        </w:tc>
      </w:tr>
      <w:tr>
        <w:trPr/>
        <w:tc>
          <w:tcPr>
            <w:tcW w:w="704" w:type="dxa"/>
            <w:tcBorders/>
            <w:shd w:fill="auto" w:val="clear"/>
            <w:tcMar>
              <w:left w:w="98" w:type="dxa"/>
            </w:tcMar>
            <w:vAlign w:val="center"/>
          </w:tcPr>
          <w:p>
            <w:pPr>
              <w:pStyle w:val="ListParagraph"/>
              <w:numPr>
                <w:ilvl w:val="1"/>
                <w:numId w:val="1"/>
              </w:numPr>
              <w:spacing w:lineRule="auto" w:line="240" w:before="0" w:after="0"/>
              <w:ind w:left="0" w:hanging="0"/>
              <w:rPr>
                <w:rFonts w:ascii="Liberation Serif" w:hAnsi="Liberation Serif" w:eastAsia="Calibri" w:cs="Times New Roman"/>
                <w:sz w:val="20"/>
                <w:szCs w:val="20"/>
              </w:rPr>
            </w:pPr>
            <w:r>
              <w:rPr>
                <w:rFonts w:eastAsia="Calibri" w:cs="Times New Roman" w:ascii="Liberation Serif" w:hAnsi="Liberation Serif"/>
                <w:sz w:val="20"/>
                <w:szCs w:val="20"/>
              </w:rPr>
            </w:r>
          </w:p>
        </w:tc>
        <w:tc>
          <w:tcPr>
            <w:tcW w:w="3720" w:type="dxa"/>
            <w:tcBorders/>
            <w:shd w:fill="auto" w:val="clear"/>
            <w:tcMar>
              <w:left w:w="98" w:type="dxa"/>
            </w:tcMar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Times New Roman" w:ascii="Liberation Serif" w:hAnsi="Liberation Serif"/>
                <w:sz w:val="20"/>
                <w:szCs w:val="20"/>
              </w:rPr>
              <w:t>Наименование лота</w:t>
            </w:r>
          </w:p>
        </w:tc>
        <w:tc>
          <w:tcPr>
            <w:tcW w:w="5103" w:type="dxa"/>
            <w:tcBorders/>
            <w:shd w:fill="auto" w:val="clear"/>
            <w:tcMar>
              <w:left w:w="98" w:type="dxa"/>
            </w:tcMar>
          </w:tcPr>
          <w:p>
            <w:pPr>
              <w:pStyle w:val="Normal"/>
              <w:keepNext w:val="true"/>
              <w:keepLines/>
              <w:spacing w:lineRule="auto" w:line="240" w:before="0" w:after="0"/>
              <w:ind w:left="0" w:hanging="0"/>
              <w:jc w:val="center"/>
              <w:rPr/>
            </w:pPr>
            <w:r>
              <w:rPr>
                <w:rFonts w:eastAsia="Calibri" w:cs="Times New Roman" w:ascii="Liberation Serif" w:hAnsi="Liberation Serif"/>
                <w:b w:val="false"/>
                <w:i/>
                <w:iCs/>
                <w:strike w:val="false"/>
                <w:dstrike w:val="false"/>
                <w:outline w:val="false"/>
                <w:shadow w:val="false"/>
                <w:sz w:val="26"/>
                <w:szCs w:val="26"/>
                <w:u w:val="none"/>
                <w:em w:val="none"/>
              </w:rPr>
              <w:t>ОКПД2 42.22.22.120. Выполнение строительно-монтажных и пуско-наладочных работ (включая поставку материалов) по реконструкции РУ-10 кВ на ПС 110 кВ Игнатьево на территории обслуживания структурного подразделения "Центральные электрические сети" в рамках выполнения инвестиционных проектов: M_28-АЭС-5241-Ц, N_28-АЭС-5393-Ц филиала "Амурские электрические сети"»</w:t>
            </w:r>
          </w:p>
        </w:tc>
      </w:tr>
      <w:tr>
        <w:trPr/>
        <w:tc>
          <w:tcPr>
            <w:tcW w:w="704" w:type="dxa"/>
            <w:tcBorders/>
            <w:shd w:fill="auto" w:val="clear"/>
            <w:tcMar>
              <w:left w:w="98" w:type="dxa"/>
            </w:tcMar>
            <w:vAlign w:val="center"/>
          </w:tcPr>
          <w:p>
            <w:pPr>
              <w:pStyle w:val="ListParagraph"/>
              <w:numPr>
                <w:ilvl w:val="1"/>
                <w:numId w:val="1"/>
              </w:numPr>
              <w:spacing w:lineRule="auto" w:line="240" w:before="0" w:after="0"/>
              <w:ind w:left="0" w:hanging="0"/>
              <w:rPr>
                <w:rFonts w:ascii="Liberation Serif" w:hAnsi="Liberation Serif" w:eastAsia="Calibri" w:cs="Times New Roman"/>
                <w:sz w:val="20"/>
                <w:szCs w:val="20"/>
              </w:rPr>
            </w:pPr>
            <w:r>
              <w:rPr>
                <w:rFonts w:eastAsia="Calibri" w:cs="Times New Roman" w:ascii="Liberation Serif" w:hAnsi="Liberation Serif"/>
                <w:sz w:val="20"/>
                <w:szCs w:val="20"/>
              </w:rPr>
            </w:r>
          </w:p>
        </w:tc>
        <w:tc>
          <w:tcPr>
            <w:tcW w:w="3720" w:type="dxa"/>
            <w:tcBorders/>
            <w:shd w:fill="auto" w:val="clear"/>
            <w:tcMar>
              <w:left w:w="98" w:type="dxa"/>
            </w:tcMar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Times New Roman" w:ascii="Liberation Serif" w:hAnsi="Liberation Serif"/>
                <w:sz w:val="20"/>
                <w:szCs w:val="20"/>
              </w:rPr>
              <w:t>Номер лота</w:t>
            </w:r>
          </w:p>
        </w:tc>
        <w:tc>
          <w:tcPr>
            <w:tcW w:w="5103" w:type="dxa"/>
            <w:tcBorders/>
            <w:shd w:fill="auto" w:val="clear"/>
            <w:tcMar>
              <w:left w:w="98" w:type="dxa"/>
            </w:tcMar>
          </w:tcPr>
          <w:p>
            <w:pPr>
              <w:pStyle w:val="Normal"/>
              <w:keepNext w:val="true"/>
              <w:keepLines/>
              <w:spacing w:lineRule="auto" w:line="276" w:before="0" w:after="0"/>
              <w:ind w:left="0" w:hanging="0"/>
              <w:jc w:val="center"/>
              <w:rPr>
                <w:b w:val="false"/>
                <w:b w:val="false"/>
                <w:bCs w:val="false"/>
                <w:i/>
                <w:i/>
                <w:iCs/>
                <w:u w:val="none"/>
              </w:rPr>
            </w:pPr>
            <w:r>
              <w:rPr>
                <w:rFonts w:eastAsia="Calibri" w:cs="Times New Roman" w:ascii="Liberation Serif" w:hAnsi="Liberation Serif"/>
                <w:b w:val="false"/>
                <w:bCs w:val="false"/>
                <w:i/>
                <w:iCs/>
                <w:strike w:val="false"/>
                <w:dstrike w:val="false"/>
                <w:outline w:val="false"/>
                <w:shadow w:val="false"/>
                <w:sz w:val="26"/>
                <w:szCs w:val="26"/>
                <w:u w:val="none"/>
                <w:em w:val="none"/>
              </w:rPr>
              <w:t>26701-ТПИР ОБСЛ-2024-ДРСК-АЭС</w:t>
            </w:r>
          </w:p>
        </w:tc>
      </w:tr>
      <w:tr>
        <w:trPr/>
        <w:tc>
          <w:tcPr>
            <w:tcW w:w="704" w:type="dxa"/>
            <w:tcBorders/>
            <w:shd w:fill="auto" w:val="clear"/>
            <w:tcMar>
              <w:left w:w="98" w:type="dxa"/>
            </w:tcMar>
            <w:vAlign w:val="center"/>
          </w:tcPr>
          <w:p>
            <w:pPr>
              <w:pStyle w:val="ListParagraph"/>
              <w:numPr>
                <w:ilvl w:val="1"/>
                <w:numId w:val="1"/>
              </w:numPr>
              <w:spacing w:lineRule="auto" w:line="240" w:before="0" w:after="0"/>
              <w:ind w:left="0" w:hanging="0"/>
              <w:rPr>
                <w:rFonts w:ascii="Liberation Serif" w:hAnsi="Liberation Serif" w:eastAsia="Calibri" w:cs="Times New Roman"/>
                <w:sz w:val="20"/>
                <w:szCs w:val="20"/>
              </w:rPr>
            </w:pPr>
            <w:r>
              <w:rPr>
                <w:rFonts w:eastAsia="Calibri" w:cs="Times New Roman" w:ascii="Liberation Serif" w:hAnsi="Liberation Serif"/>
                <w:sz w:val="20"/>
                <w:szCs w:val="20"/>
              </w:rPr>
            </w:r>
          </w:p>
        </w:tc>
        <w:tc>
          <w:tcPr>
            <w:tcW w:w="3720" w:type="dxa"/>
            <w:tcBorders/>
            <w:shd w:fill="auto" w:val="clear"/>
            <w:tcMar>
              <w:left w:w="98" w:type="dxa"/>
            </w:tcMar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Times New Roman" w:ascii="Liberation Serif" w:hAnsi="Liberation Serif"/>
                <w:sz w:val="20"/>
                <w:szCs w:val="20"/>
              </w:rPr>
              <w:t>Номер лота в инвестиционной программе и/или производственной программе</w:t>
            </w:r>
          </w:p>
        </w:tc>
        <w:tc>
          <w:tcPr>
            <w:tcW w:w="5103" w:type="dxa"/>
            <w:tcBorders/>
            <w:shd w:fill="auto" w:val="clear"/>
            <w:tcMar>
              <w:left w:w="98" w:type="dxa"/>
            </w:tcMar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Liberation Serif" w:hAnsi="Liberation Serif" w:eastAsia="Calibri" w:cs="Times New Roman"/>
                <w:i/>
                <w:i/>
                <w:sz w:val="20"/>
                <w:szCs w:val="20"/>
              </w:rPr>
            </w:pPr>
            <w:r>
              <w:rPr>
                <w:rFonts w:eastAsia="Calibri" w:cs="Times New Roman" w:ascii="Liberation Serif" w:hAnsi="Liberation Serif"/>
                <w:i/>
                <w:sz w:val="20"/>
                <w:szCs w:val="20"/>
              </w:rPr>
            </w:r>
          </w:p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Times New Roman" w:ascii="Liberation Serif" w:hAnsi="Liberation Serif"/>
                <w:i/>
                <w:sz w:val="20"/>
                <w:szCs w:val="20"/>
              </w:rPr>
              <w:t>-</w:t>
            </w:r>
          </w:p>
        </w:tc>
      </w:tr>
      <w:tr>
        <w:trPr/>
        <w:tc>
          <w:tcPr>
            <w:tcW w:w="704" w:type="dxa"/>
            <w:tcBorders/>
            <w:shd w:fill="auto" w:val="clear"/>
            <w:tcMar>
              <w:left w:w="98" w:type="dxa"/>
            </w:tcMar>
            <w:vAlign w:val="center"/>
          </w:tcPr>
          <w:p>
            <w:pPr>
              <w:pStyle w:val="ListParagraph"/>
              <w:numPr>
                <w:ilvl w:val="1"/>
                <w:numId w:val="1"/>
              </w:numPr>
              <w:spacing w:lineRule="auto" w:line="240" w:before="0" w:after="0"/>
              <w:ind w:left="0" w:hanging="0"/>
              <w:rPr>
                <w:rFonts w:ascii="Liberation Serif" w:hAnsi="Liberation Serif" w:eastAsia="Calibri" w:cs="Times New Roman"/>
                <w:sz w:val="20"/>
                <w:szCs w:val="20"/>
              </w:rPr>
            </w:pPr>
            <w:r>
              <w:rPr>
                <w:rFonts w:eastAsia="Calibri" w:cs="Times New Roman" w:ascii="Liberation Serif" w:hAnsi="Liberation Serif"/>
                <w:sz w:val="20"/>
                <w:szCs w:val="20"/>
              </w:rPr>
            </w:r>
          </w:p>
        </w:tc>
        <w:tc>
          <w:tcPr>
            <w:tcW w:w="3720" w:type="dxa"/>
            <w:tcBorders/>
            <w:shd w:fill="auto" w:val="clear"/>
            <w:tcMar>
              <w:left w:w="98" w:type="dxa"/>
            </w:tcMar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Times New Roman" w:ascii="Liberation Serif" w:hAnsi="Liberation Serif"/>
                <w:sz w:val="20"/>
                <w:szCs w:val="20"/>
              </w:rPr>
              <w:t xml:space="preserve">Закупка по лоту планируется </w:t>
            </w:r>
          </w:p>
        </w:tc>
        <w:tc>
          <w:tcPr>
            <w:tcW w:w="5103" w:type="dxa"/>
            <w:tcBorders/>
            <w:shd w:fill="auto" w:val="clear"/>
            <w:tcMar>
              <w:left w:w="98" w:type="dxa"/>
            </w:tcMar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/>
                <w:i/>
                <w:i/>
                <w:sz w:val="20"/>
                <w:szCs w:val="20"/>
              </w:rPr>
            </w:pPr>
            <w:r>
              <w:rPr>
                <w:rFonts w:eastAsia="Calibri" w:cs="Times New Roman" w:ascii="Liberation Serif" w:hAnsi="Liberation Serif"/>
                <w:i/>
                <w:sz w:val="20"/>
                <w:szCs w:val="20"/>
              </w:rPr>
              <w:t>конкурентная</w:t>
            </w:r>
          </w:p>
        </w:tc>
      </w:tr>
      <w:tr>
        <w:trPr/>
        <w:tc>
          <w:tcPr>
            <w:tcW w:w="704" w:type="dxa"/>
            <w:tcBorders/>
            <w:shd w:fill="auto" w:val="clear"/>
            <w:tcMar>
              <w:left w:w="98" w:type="dxa"/>
            </w:tcMar>
            <w:vAlign w:val="center"/>
          </w:tcPr>
          <w:p>
            <w:pPr>
              <w:pStyle w:val="ListParagraph"/>
              <w:numPr>
                <w:ilvl w:val="1"/>
                <w:numId w:val="1"/>
              </w:numPr>
              <w:spacing w:lineRule="auto" w:line="240" w:before="0" w:after="0"/>
              <w:ind w:left="0" w:hanging="0"/>
              <w:rPr>
                <w:rFonts w:ascii="Liberation Serif" w:hAnsi="Liberation Serif" w:eastAsia="Calibri" w:cs="Times New Roman"/>
                <w:sz w:val="20"/>
                <w:szCs w:val="20"/>
              </w:rPr>
            </w:pPr>
            <w:r>
              <w:rPr>
                <w:rFonts w:eastAsia="Calibri" w:cs="Times New Roman" w:ascii="Liberation Serif" w:hAnsi="Liberation Serif"/>
                <w:sz w:val="20"/>
                <w:szCs w:val="20"/>
              </w:rPr>
            </w:r>
          </w:p>
        </w:tc>
        <w:tc>
          <w:tcPr>
            <w:tcW w:w="3720" w:type="dxa"/>
            <w:tcBorders/>
            <w:shd w:fill="auto" w:val="clear"/>
            <w:tcMar>
              <w:left w:w="98" w:type="dxa"/>
            </w:tcMar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Times New Roman" w:ascii="Liberation Serif" w:hAnsi="Liberation Serif"/>
                <w:sz w:val="20"/>
                <w:szCs w:val="20"/>
              </w:rPr>
              <w:t>Расчет составил</w:t>
            </w:r>
          </w:p>
        </w:tc>
        <w:tc>
          <w:tcPr>
            <w:tcW w:w="5103" w:type="dxa"/>
            <w:tcBorders/>
            <w:shd w:fill="auto" w:val="clear"/>
            <w:tcMar>
              <w:left w:w="98" w:type="dxa"/>
            </w:tcMar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Liberation Serif" w:hAnsi="Liberation Serif" w:eastAsia="Calibri" w:cs="Times New Roman"/>
                <w:i/>
                <w:i/>
                <w:sz w:val="20"/>
                <w:szCs w:val="20"/>
              </w:rPr>
            </w:pPr>
            <w:r>
              <w:rPr>
                <w:rFonts w:eastAsia="Calibri" w:cs="Times New Roman" w:ascii="Liberation Serif" w:hAnsi="Liberation Serif"/>
                <w:i/>
                <w:sz w:val="20"/>
                <w:szCs w:val="20"/>
              </w:rPr>
            </w:r>
          </w:p>
        </w:tc>
      </w:tr>
    </w:tbl>
    <w:p>
      <w:pPr>
        <w:pStyle w:val="ListParagraph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120"/>
        <w:rPr>
          <w:rFonts w:ascii="Times New Roman" w:hAnsi="Times New Roman"/>
          <w:b/>
          <w:b/>
          <w:sz w:val="20"/>
          <w:szCs w:val="20"/>
        </w:rPr>
      </w:pPr>
      <w:r>
        <w:rPr>
          <w:rFonts w:ascii="Liberation Serif" w:hAnsi="Liberation Serif"/>
          <w:b/>
          <w:sz w:val="20"/>
          <w:szCs w:val="20"/>
        </w:rPr>
        <w:t>Примененный метод (методы) расчета ПЦ</w:t>
      </w:r>
    </w:p>
    <w:tbl>
      <w:tblPr>
        <w:tblStyle w:val="a3"/>
        <w:tblW w:w="9498" w:type="dxa"/>
        <w:jc w:val="left"/>
        <w:tblInd w:w="-44" w:type="dxa"/>
        <w:tblCellMar>
          <w:top w:w="0" w:type="dxa"/>
          <w:left w:w="9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709"/>
        <w:gridCol w:w="3715"/>
        <w:gridCol w:w="5074"/>
      </w:tblGrid>
      <w:tr>
        <w:trPr/>
        <w:tc>
          <w:tcPr>
            <w:tcW w:w="709" w:type="dxa"/>
            <w:tcBorders/>
            <w:shd w:fill="auto" w:val="clear"/>
            <w:tcMar>
              <w:left w:w="98" w:type="dxa"/>
            </w:tcMar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Times New Roman" w:ascii="Liberation Serif" w:hAnsi="Liberation Serif"/>
                <w:sz w:val="20"/>
                <w:szCs w:val="20"/>
              </w:rPr>
              <w:t xml:space="preserve">№ </w:t>
            </w:r>
            <w:r>
              <w:rPr>
                <w:rFonts w:eastAsia="Calibri" w:cs="Times New Roman" w:ascii="Liberation Serif" w:hAnsi="Liberation Serif"/>
                <w:sz w:val="20"/>
                <w:szCs w:val="20"/>
              </w:rPr>
              <w:t>п/п</w:t>
            </w:r>
          </w:p>
        </w:tc>
        <w:tc>
          <w:tcPr>
            <w:tcW w:w="8789" w:type="dxa"/>
            <w:gridSpan w:val="2"/>
            <w:tcBorders/>
            <w:shd w:fill="auto" w:val="clear"/>
            <w:tcMar>
              <w:left w:w="98" w:type="dxa"/>
            </w:tcMar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Times New Roman" w:ascii="Liberation Serif" w:hAnsi="Liberation Serif"/>
                <w:sz w:val="20"/>
                <w:szCs w:val="20"/>
              </w:rPr>
              <w:t>Информация по лоту</w:t>
            </w:r>
          </w:p>
        </w:tc>
      </w:tr>
      <w:tr>
        <w:trPr/>
        <w:tc>
          <w:tcPr>
            <w:tcW w:w="709" w:type="dxa"/>
            <w:tcBorders/>
            <w:shd w:fill="auto" w:val="clear"/>
            <w:tcMar>
              <w:left w:w="98" w:type="dxa"/>
            </w:tcMar>
          </w:tcPr>
          <w:p>
            <w:pPr>
              <w:pStyle w:val="ListParagraph"/>
              <w:numPr>
                <w:ilvl w:val="1"/>
                <w:numId w:val="1"/>
              </w:numPr>
              <w:spacing w:lineRule="auto" w:line="240" w:before="0" w:after="0"/>
              <w:ind w:left="0" w:hanging="0"/>
              <w:rPr>
                <w:rFonts w:ascii="Liberation Serif" w:hAnsi="Liberation Serif" w:eastAsia="Calibri" w:cs="Times New Roman"/>
                <w:sz w:val="20"/>
                <w:szCs w:val="20"/>
              </w:rPr>
            </w:pPr>
            <w:r>
              <w:rPr>
                <w:rFonts w:eastAsia="Calibri" w:cs="Times New Roman" w:ascii="Liberation Serif" w:hAnsi="Liberation Serif"/>
                <w:sz w:val="20"/>
                <w:szCs w:val="20"/>
              </w:rPr>
            </w:r>
          </w:p>
        </w:tc>
        <w:tc>
          <w:tcPr>
            <w:tcW w:w="8789" w:type="dxa"/>
            <w:gridSpan w:val="2"/>
            <w:tcBorders/>
            <w:shd w:fill="auto" w:val="clear"/>
            <w:tcMar>
              <w:left w:w="98" w:type="dxa"/>
            </w:tcMar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/>
                <w:i/>
                <w:i/>
                <w:sz w:val="20"/>
                <w:szCs w:val="20"/>
              </w:rPr>
            </w:pPr>
            <w:r>
              <w:rPr>
                <w:rFonts w:eastAsia="Calibri" w:cs="Times New Roman" w:ascii="Liberation Serif" w:hAnsi="Liberation Serif"/>
                <w:b/>
                <w:sz w:val="20"/>
                <w:szCs w:val="20"/>
              </w:rPr>
              <w:t xml:space="preserve">Частная категория № 1: </w:t>
            </w:r>
            <w:r>
              <w:rPr>
                <w:rFonts w:eastAsia="Calibri" w:cs="Times New Roman" w:ascii="Liberation Serif" w:hAnsi="Liberation Serif"/>
                <w:i/>
                <w:szCs w:val="20"/>
              </w:rPr>
              <w:t>Новое строительство, ТПиР, капитальный ремонт энергооборудования, ремонт зданий и сооружений, ТО энергооборудования, зданий и сооружений.</w:t>
            </w:r>
          </w:p>
        </w:tc>
      </w:tr>
      <w:tr>
        <w:trPr/>
        <w:tc>
          <w:tcPr>
            <w:tcW w:w="709" w:type="dxa"/>
            <w:tcBorders/>
            <w:shd w:fill="auto" w:val="clear"/>
            <w:tcMar>
              <w:left w:w="98" w:type="dxa"/>
            </w:tcMar>
            <w:vAlign w:val="center"/>
          </w:tcPr>
          <w:p>
            <w:pPr>
              <w:pStyle w:val="ListParagraph"/>
              <w:numPr>
                <w:ilvl w:val="1"/>
                <w:numId w:val="1"/>
              </w:numPr>
              <w:spacing w:lineRule="auto" w:line="240" w:before="0" w:after="0"/>
              <w:ind w:left="0" w:hanging="0"/>
              <w:rPr>
                <w:rFonts w:ascii="Liberation Serif" w:hAnsi="Liberation Serif" w:eastAsia="Calibri" w:cs="Times New Roman"/>
                <w:sz w:val="20"/>
                <w:szCs w:val="20"/>
              </w:rPr>
            </w:pPr>
            <w:r>
              <w:rPr>
                <w:rFonts w:eastAsia="Calibri" w:cs="Times New Roman" w:ascii="Liberation Serif" w:hAnsi="Liberation Serif"/>
                <w:sz w:val="20"/>
                <w:szCs w:val="20"/>
              </w:rPr>
            </w:r>
          </w:p>
        </w:tc>
        <w:tc>
          <w:tcPr>
            <w:tcW w:w="3715" w:type="dxa"/>
            <w:tcBorders/>
            <w:shd w:fill="auto" w:val="clear"/>
            <w:tcMar>
              <w:left w:w="98" w:type="dxa"/>
            </w:tcMar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Times New Roman" w:ascii="Liberation Serif" w:hAnsi="Liberation Serif"/>
                <w:sz w:val="20"/>
                <w:szCs w:val="20"/>
              </w:rPr>
              <w:t>Основной метод расчета ПЦ по лоту</w:t>
            </w:r>
          </w:p>
        </w:tc>
        <w:tc>
          <w:tcPr>
            <w:tcW w:w="5074" w:type="dxa"/>
            <w:tcBorders/>
            <w:shd w:fill="auto" w:val="clear"/>
            <w:tcMar>
              <w:left w:w="98" w:type="dxa"/>
            </w:tcMar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Times New Roman" w:ascii="Liberation Serif" w:hAnsi="Liberation Serif"/>
                <w:szCs w:val="26"/>
              </w:rPr>
              <w:t>Базисно-индексный метод</w:t>
            </w:r>
          </w:p>
        </w:tc>
      </w:tr>
      <w:tr>
        <w:trPr/>
        <w:tc>
          <w:tcPr>
            <w:tcW w:w="709" w:type="dxa"/>
            <w:tcBorders/>
            <w:shd w:fill="auto" w:val="clear"/>
            <w:tcMar>
              <w:left w:w="98" w:type="dxa"/>
            </w:tcMar>
            <w:vAlign w:val="center"/>
          </w:tcPr>
          <w:p>
            <w:pPr>
              <w:pStyle w:val="ListParagraph"/>
              <w:numPr>
                <w:ilvl w:val="1"/>
                <w:numId w:val="1"/>
              </w:numPr>
              <w:spacing w:lineRule="auto" w:line="240" w:before="0" w:after="0"/>
              <w:ind w:left="0" w:hanging="0"/>
              <w:rPr>
                <w:rFonts w:ascii="Liberation Serif" w:hAnsi="Liberation Serif" w:eastAsia="Calibri" w:cs="Times New Roman"/>
                <w:sz w:val="20"/>
                <w:szCs w:val="20"/>
              </w:rPr>
            </w:pPr>
            <w:r>
              <w:rPr>
                <w:rFonts w:eastAsia="Calibri" w:cs="Times New Roman" w:ascii="Liberation Serif" w:hAnsi="Liberation Serif"/>
                <w:sz w:val="20"/>
                <w:szCs w:val="20"/>
              </w:rPr>
            </w:r>
          </w:p>
        </w:tc>
        <w:tc>
          <w:tcPr>
            <w:tcW w:w="3715" w:type="dxa"/>
            <w:tcBorders/>
            <w:shd w:fill="auto" w:val="clear"/>
            <w:tcMar>
              <w:left w:w="98" w:type="dxa"/>
            </w:tcMar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Times New Roman" w:ascii="Liberation Serif" w:hAnsi="Liberation Serif"/>
                <w:sz w:val="20"/>
                <w:szCs w:val="20"/>
              </w:rPr>
              <w:t>Проверочный метод расчета ПЦ по лоту</w:t>
            </w:r>
          </w:p>
        </w:tc>
        <w:tc>
          <w:tcPr>
            <w:tcW w:w="5074" w:type="dxa"/>
            <w:tcBorders/>
            <w:shd w:fill="auto" w:val="clear"/>
            <w:tcMar>
              <w:left w:w="98" w:type="dxa"/>
            </w:tcMar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Times New Roman" w:ascii="Liberation Serif" w:hAnsi="Liberation Serif"/>
                <w:sz w:val="20"/>
                <w:szCs w:val="20"/>
              </w:rPr>
              <w:t>Не применимо</w:t>
            </w:r>
          </w:p>
        </w:tc>
      </w:tr>
      <w:tr>
        <w:trPr/>
        <w:tc>
          <w:tcPr>
            <w:tcW w:w="709" w:type="dxa"/>
            <w:tcBorders/>
            <w:shd w:fill="auto" w:val="clear"/>
            <w:tcMar>
              <w:left w:w="98" w:type="dxa"/>
            </w:tcMar>
            <w:vAlign w:val="center"/>
          </w:tcPr>
          <w:p>
            <w:pPr>
              <w:pStyle w:val="ListParagraph"/>
              <w:numPr>
                <w:ilvl w:val="1"/>
                <w:numId w:val="1"/>
              </w:numPr>
              <w:spacing w:lineRule="auto" w:line="240" w:before="0" w:after="0"/>
              <w:ind w:left="0" w:hanging="0"/>
              <w:rPr>
                <w:rFonts w:ascii="Liberation Serif" w:hAnsi="Liberation Serif" w:eastAsia="Calibri" w:cs="Times New Roman"/>
                <w:sz w:val="20"/>
                <w:szCs w:val="20"/>
              </w:rPr>
            </w:pPr>
            <w:r>
              <w:rPr>
                <w:rFonts w:eastAsia="Calibri" w:cs="Times New Roman" w:ascii="Liberation Serif" w:hAnsi="Liberation Serif"/>
                <w:sz w:val="20"/>
                <w:szCs w:val="20"/>
              </w:rPr>
            </w:r>
          </w:p>
        </w:tc>
        <w:tc>
          <w:tcPr>
            <w:tcW w:w="3715" w:type="dxa"/>
            <w:tcBorders/>
            <w:shd w:fill="auto" w:val="clear"/>
            <w:tcMar>
              <w:left w:w="98" w:type="dxa"/>
            </w:tcMar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Times New Roman" w:ascii="Liberation Serif" w:hAnsi="Liberation Serif"/>
                <w:sz w:val="20"/>
                <w:szCs w:val="20"/>
              </w:rPr>
              <w:t>Дополнительный метод расчета ПЦ по лоту</w:t>
            </w:r>
          </w:p>
        </w:tc>
        <w:tc>
          <w:tcPr>
            <w:tcW w:w="5074" w:type="dxa"/>
            <w:tcBorders/>
            <w:shd w:fill="auto" w:val="clear"/>
            <w:tcMar>
              <w:left w:w="98" w:type="dxa"/>
            </w:tcMar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Times New Roman" w:ascii="Liberation Serif" w:hAnsi="Liberation Serif"/>
                <w:sz w:val="20"/>
                <w:szCs w:val="20"/>
              </w:rPr>
              <w:t>Не применимо</w:t>
            </w:r>
          </w:p>
        </w:tc>
      </w:tr>
      <w:tr>
        <w:trPr/>
        <w:tc>
          <w:tcPr>
            <w:tcW w:w="709" w:type="dxa"/>
            <w:tcBorders/>
            <w:shd w:fill="auto" w:val="clear"/>
            <w:tcMar>
              <w:left w:w="98" w:type="dxa"/>
            </w:tcMar>
            <w:vAlign w:val="center"/>
          </w:tcPr>
          <w:p>
            <w:pPr>
              <w:pStyle w:val="ListParagraph"/>
              <w:numPr>
                <w:ilvl w:val="1"/>
                <w:numId w:val="1"/>
              </w:numPr>
              <w:spacing w:lineRule="auto" w:line="240" w:before="0" w:after="0"/>
              <w:ind w:left="0" w:hanging="0"/>
              <w:rPr>
                <w:rFonts w:ascii="Liberation Serif" w:hAnsi="Liberation Serif" w:eastAsia="Calibri" w:cs="Times New Roman"/>
                <w:sz w:val="20"/>
                <w:szCs w:val="20"/>
              </w:rPr>
            </w:pPr>
            <w:r>
              <w:rPr>
                <w:rFonts w:eastAsia="Calibri" w:cs="Times New Roman" w:ascii="Liberation Serif" w:hAnsi="Liberation Serif"/>
                <w:sz w:val="20"/>
                <w:szCs w:val="20"/>
              </w:rPr>
            </w:r>
          </w:p>
        </w:tc>
        <w:tc>
          <w:tcPr>
            <w:tcW w:w="3715" w:type="dxa"/>
            <w:tcBorders/>
            <w:shd w:fill="auto" w:val="clear"/>
            <w:tcMar>
              <w:left w:w="98" w:type="dxa"/>
            </w:tcMar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Times New Roman" w:ascii="Liberation Serif" w:hAnsi="Liberation Serif"/>
                <w:sz w:val="20"/>
                <w:szCs w:val="20"/>
              </w:rPr>
              <w:t>Дата расчета (актуализации) расчета ПЦ</w:t>
            </w:r>
          </w:p>
        </w:tc>
        <w:tc>
          <w:tcPr>
            <w:tcW w:w="5074" w:type="dxa"/>
            <w:tcBorders/>
            <w:shd w:fill="auto" w:val="clear"/>
            <w:tcMar>
              <w:left w:w="98" w:type="dxa"/>
            </w:tcMar>
          </w:tcPr>
          <w:p>
            <w:pPr>
              <w:pStyle w:val="ListParagraph"/>
              <w:spacing w:lineRule="auto" w:line="240" w:before="0" w:after="0"/>
              <w:ind w:left="0" w:hanging="0"/>
              <w:rPr/>
            </w:pPr>
            <w:r>
              <w:rPr>
                <w:rFonts w:eastAsia="Calibri" w:cs="Times New Roman" w:ascii="Liberation Serif" w:hAnsi="Liberation Serif"/>
                <w:sz w:val="20"/>
                <w:szCs w:val="20"/>
              </w:rPr>
              <w:t>17.11.2023</w:t>
            </w:r>
          </w:p>
        </w:tc>
      </w:tr>
    </w:tbl>
    <w:p>
      <w:pPr>
        <w:pStyle w:val="Normal"/>
        <w:rPr>
          <w:rFonts w:ascii="Liberation Serif" w:hAnsi="Liberation Serif"/>
          <w:b/>
          <w:b/>
          <w:sz w:val="20"/>
          <w:szCs w:val="20"/>
        </w:rPr>
      </w:pPr>
      <w:r>
        <w:rPr>
          <w:rFonts w:ascii="Liberation Serif" w:hAnsi="Liberation Serif"/>
          <w:b/>
          <w:sz w:val="20"/>
          <w:szCs w:val="20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120"/>
        <w:rPr>
          <w:rFonts w:ascii="Times New Roman" w:hAnsi="Times New Roman"/>
          <w:b/>
          <w:b/>
          <w:sz w:val="20"/>
          <w:szCs w:val="20"/>
        </w:rPr>
      </w:pPr>
      <w:r>
        <w:rPr>
          <w:rFonts w:ascii="Liberation Serif" w:hAnsi="Liberation Serif"/>
          <w:b/>
          <w:sz w:val="20"/>
          <w:szCs w:val="20"/>
        </w:rPr>
        <w:t>Свод ценовой информации по результатам расчета ПЦ</w:t>
      </w:r>
    </w:p>
    <w:tbl>
      <w:tblPr>
        <w:tblStyle w:val="a3"/>
        <w:tblW w:w="9527" w:type="dxa"/>
        <w:jc w:val="left"/>
        <w:tblInd w:w="-44" w:type="dxa"/>
        <w:tblCellMar>
          <w:top w:w="0" w:type="dxa"/>
          <w:left w:w="9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704"/>
        <w:gridCol w:w="3674"/>
        <w:gridCol w:w="5149"/>
      </w:tblGrid>
      <w:tr>
        <w:trPr/>
        <w:tc>
          <w:tcPr>
            <w:tcW w:w="704" w:type="dxa"/>
            <w:tcBorders/>
            <w:shd w:fill="auto" w:val="clear"/>
            <w:tcMar>
              <w:left w:w="98" w:type="dxa"/>
            </w:tcMar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Times New Roman" w:ascii="Liberation Serif" w:hAnsi="Liberation Serif"/>
                <w:sz w:val="20"/>
                <w:szCs w:val="20"/>
              </w:rPr>
              <w:t xml:space="preserve">№ </w:t>
            </w:r>
            <w:r>
              <w:rPr>
                <w:rFonts w:eastAsia="Calibri" w:cs="Times New Roman" w:ascii="Liberation Serif" w:hAnsi="Liberation Serif"/>
                <w:sz w:val="20"/>
                <w:szCs w:val="20"/>
              </w:rPr>
              <w:t>п/п</w:t>
            </w:r>
          </w:p>
        </w:tc>
        <w:tc>
          <w:tcPr>
            <w:tcW w:w="3674" w:type="dxa"/>
            <w:tcBorders/>
            <w:shd w:fill="auto" w:val="clear"/>
            <w:tcMar>
              <w:left w:w="98" w:type="dxa"/>
            </w:tcMar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Times New Roman" w:ascii="Liberation Serif" w:hAnsi="Liberation Serif"/>
                <w:sz w:val="20"/>
                <w:szCs w:val="20"/>
              </w:rPr>
              <w:t>Наименование</w:t>
            </w:r>
          </w:p>
        </w:tc>
        <w:tc>
          <w:tcPr>
            <w:tcW w:w="5149" w:type="dxa"/>
            <w:tcBorders/>
            <w:shd w:fill="auto" w:val="clear"/>
            <w:tcMar>
              <w:left w:w="98" w:type="dxa"/>
            </w:tcMar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Times New Roman" w:ascii="Liberation Serif" w:hAnsi="Liberation Serif"/>
                <w:sz w:val="20"/>
                <w:szCs w:val="20"/>
              </w:rPr>
              <w:t>Информация по лоту</w:t>
            </w:r>
          </w:p>
        </w:tc>
      </w:tr>
      <w:tr>
        <w:trPr>
          <w:trHeight w:val="1062" w:hRule="atLeast"/>
        </w:trPr>
        <w:tc>
          <w:tcPr>
            <w:tcW w:w="704" w:type="dxa"/>
            <w:tcBorders/>
            <w:shd w:fill="auto" w:val="clear"/>
            <w:tcMar>
              <w:left w:w="98" w:type="dxa"/>
            </w:tcMar>
            <w:vAlign w:val="center"/>
          </w:tcPr>
          <w:p>
            <w:pPr>
              <w:pStyle w:val="ListParagraph"/>
              <w:numPr>
                <w:ilvl w:val="1"/>
                <w:numId w:val="1"/>
              </w:numPr>
              <w:spacing w:lineRule="auto" w:line="240" w:before="0" w:after="0"/>
              <w:ind w:left="0" w:hanging="0"/>
              <w:rPr>
                <w:rFonts w:ascii="Liberation Serif" w:hAnsi="Liberation Serif" w:eastAsia="Calibri" w:cs="Times New Roman"/>
                <w:sz w:val="20"/>
                <w:szCs w:val="20"/>
              </w:rPr>
            </w:pPr>
            <w:r>
              <w:rPr>
                <w:rFonts w:eastAsia="Calibri" w:cs="Times New Roman" w:ascii="Liberation Serif" w:hAnsi="Liberation Serif"/>
                <w:sz w:val="20"/>
                <w:szCs w:val="20"/>
              </w:rPr>
            </w:r>
          </w:p>
        </w:tc>
        <w:tc>
          <w:tcPr>
            <w:tcW w:w="3674" w:type="dxa"/>
            <w:tcBorders/>
            <w:shd w:fill="auto" w:val="clear"/>
            <w:tcMar>
              <w:left w:w="98" w:type="dxa"/>
            </w:tcMar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Times New Roman" w:ascii="Liberation Serif" w:hAnsi="Liberation Serif"/>
                <w:sz w:val="20"/>
                <w:szCs w:val="20"/>
              </w:rPr>
              <w:t xml:space="preserve">ПЦ, полученная основным способом </w:t>
            </w:r>
          </w:p>
        </w:tc>
        <w:tc>
          <w:tcPr>
            <w:tcW w:w="5149" w:type="dxa"/>
            <w:tcBorders/>
            <w:shd w:fill="auto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ind w:left="0" w:hanging="0"/>
              <w:rPr/>
            </w:pPr>
            <w:r>
              <w:rPr>
                <w:rFonts w:eastAsia="Calibri" w:cs="Times New Roman" w:ascii="Liberation Serif" w:hAnsi="Liberation Serif"/>
                <w:b w:val="false"/>
                <w:i/>
                <w:iCs/>
                <w:strike w:val="false"/>
                <w:dstrike w:val="false"/>
                <w:outline w:val="false"/>
                <w:shadow w:val="false"/>
                <w:sz w:val="22"/>
                <w:szCs w:val="22"/>
                <w:u w:val="none"/>
                <w:em w:val="none"/>
                <w:lang w:eastAsia="en-US"/>
              </w:rPr>
              <w:t>14 564 919,79</w:t>
            </w:r>
            <w:r>
              <w:rPr>
                <w:rFonts w:eastAsia="Calibri" w:cs="Times New Roman" w:ascii="Liberation Serif" w:hAnsi="Liberation Serif"/>
                <w:i/>
                <w:iCs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 w:cs="Times New Roman" w:ascii="Liberation Serif" w:hAnsi="Liberation Serif"/>
                <w:i/>
                <w:sz w:val="22"/>
                <w:szCs w:val="22"/>
                <w:lang w:eastAsia="en-US"/>
              </w:rPr>
              <w:t>рублей без учета НДС</w:t>
            </w:r>
          </w:p>
        </w:tc>
      </w:tr>
      <w:tr>
        <w:trPr/>
        <w:tc>
          <w:tcPr>
            <w:tcW w:w="704" w:type="dxa"/>
            <w:tcBorders/>
            <w:shd w:fill="auto" w:val="clear"/>
            <w:tcMar>
              <w:left w:w="98" w:type="dxa"/>
            </w:tcMar>
            <w:vAlign w:val="center"/>
          </w:tcPr>
          <w:p>
            <w:pPr>
              <w:pStyle w:val="ListParagraph"/>
              <w:numPr>
                <w:ilvl w:val="1"/>
                <w:numId w:val="1"/>
              </w:numPr>
              <w:spacing w:lineRule="auto" w:line="240" w:before="0" w:after="0"/>
              <w:ind w:left="0" w:hanging="0"/>
              <w:rPr>
                <w:rFonts w:ascii="Liberation Serif" w:hAnsi="Liberation Serif" w:eastAsia="Calibri" w:cs="Times New Roman"/>
                <w:sz w:val="20"/>
                <w:szCs w:val="20"/>
              </w:rPr>
            </w:pPr>
            <w:r>
              <w:rPr>
                <w:rFonts w:eastAsia="Calibri" w:cs="Times New Roman" w:ascii="Liberation Serif" w:hAnsi="Liberation Serif"/>
                <w:sz w:val="20"/>
                <w:szCs w:val="20"/>
              </w:rPr>
            </w:r>
          </w:p>
        </w:tc>
        <w:tc>
          <w:tcPr>
            <w:tcW w:w="3674" w:type="dxa"/>
            <w:tcBorders/>
            <w:shd w:fill="auto" w:val="clear"/>
            <w:tcMar>
              <w:left w:w="98" w:type="dxa"/>
            </w:tcMar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Times New Roman" w:ascii="Liberation Serif" w:hAnsi="Liberation Serif"/>
                <w:sz w:val="20"/>
                <w:szCs w:val="20"/>
              </w:rPr>
              <w:t xml:space="preserve">ПЦ, полученная проверочным способом </w:t>
            </w:r>
          </w:p>
        </w:tc>
        <w:tc>
          <w:tcPr>
            <w:tcW w:w="5149" w:type="dxa"/>
            <w:tcBorders/>
            <w:shd w:fill="auto" w:val="clear"/>
            <w:tcMar>
              <w:left w:w="98" w:type="dxa"/>
            </w:tcMar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Times New Roman" w:ascii="Liberation Serif" w:hAnsi="Liberation Serif"/>
                <w:sz w:val="20"/>
                <w:szCs w:val="20"/>
              </w:rPr>
              <w:t>Не применимо</w:t>
            </w:r>
          </w:p>
        </w:tc>
      </w:tr>
      <w:tr>
        <w:trPr/>
        <w:tc>
          <w:tcPr>
            <w:tcW w:w="704" w:type="dxa"/>
            <w:tcBorders/>
            <w:shd w:fill="auto" w:val="clear"/>
            <w:tcMar>
              <w:left w:w="98" w:type="dxa"/>
            </w:tcMar>
            <w:vAlign w:val="center"/>
          </w:tcPr>
          <w:p>
            <w:pPr>
              <w:pStyle w:val="ListParagraph"/>
              <w:numPr>
                <w:ilvl w:val="1"/>
                <w:numId w:val="1"/>
              </w:numPr>
              <w:spacing w:lineRule="auto" w:line="240" w:before="0" w:after="0"/>
              <w:ind w:left="0" w:hanging="0"/>
              <w:rPr>
                <w:rFonts w:ascii="Liberation Serif" w:hAnsi="Liberation Serif" w:eastAsia="Calibri" w:cs="Times New Roman"/>
                <w:sz w:val="20"/>
                <w:szCs w:val="20"/>
              </w:rPr>
            </w:pPr>
            <w:r>
              <w:rPr>
                <w:rFonts w:eastAsia="Calibri" w:cs="Times New Roman" w:ascii="Liberation Serif" w:hAnsi="Liberation Serif"/>
                <w:sz w:val="20"/>
                <w:szCs w:val="20"/>
              </w:rPr>
            </w:r>
          </w:p>
        </w:tc>
        <w:tc>
          <w:tcPr>
            <w:tcW w:w="3674" w:type="dxa"/>
            <w:tcBorders/>
            <w:shd w:fill="auto" w:val="clear"/>
            <w:tcMar>
              <w:left w:w="98" w:type="dxa"/>
            </w:tcMar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Times New Roman" w:ascii="Liberation Serif" w:hAnsi="Liberation Serif"/>
                <w:sz w:val="20"/>
                <w:szCs w:val="20"/>
              </w:rPr>
              <w:t xml:space="preserve">ПЦ, полученная дополнительным способом </w:t>
            </w:r>
          </w:p>
        </w:tc>
        <w:tc>
          <w:tcPr>
            <w:tcW w:w="5149" w:type="dxa"/>
            <w:tcBorders/>
            <w:shd w:fill="auto" w:val="clear"/>
            <w:tcMar>
              <w:left w:w="98" w:type="dxa"/>
            </w:tcMar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Times New Roman" w:ascii="Liberation Serif" w:hAnsi="Liberation Serif"/>
                <w:sz w:val="20"/>
                <w:szCs w:val="20"/>
              </w:rPr>
              <w:t>Не применимо</w:t>
            </w:r>
          </w:p>
        </w:tc>
      </w:tr>
      <w:tr>
        <w:trPr/>
        <w:tc>
          <w:tcPr>
            <w:tcW w:w="704" w:type="dxa"/>
            <w:tcBorders/>
            <w:shd w:fill="auto" w:val="clear"/>
            <w:tcMar>
              <w:left w:w="98" w:type="dxa"/>
            </w:tcMar>
            <w:vAlign w:val="center"/>
          </w:tcPr>
          <w:p>
            <w:pPr>
              <w:pStyle w:val="ListParagraph"/>
              <w:numPr>
                <w:ilvl w:val="1"/>
                <w:numId w:val="1"/>
              </w:numPr>
              <w:spacing w:lineRule="auto" w:line="240" w:before="0" w:after="0"/>
              <w:ind w:left="0" w:hanging="0"/>
              <w:rPr>
                <w:rFonts w:ascii="Liberation Serif" w:hAnsi="Liberation Serif" w:eastAsia="Calibri" w:cs="Times New Roman"/>
                <w:sz w:val="20"/>
                <w:szCs w:val="20"/>
              </w:rPr>
            </w:pPr>
            <w:r>
              <w:rPr>
                <w:rFonts w:eastAsia="Calibri" w:cs="Times New Roman" w:ascii="Liberation Serif" w:hAnsi="Liberation Serif"/>
                <w:sz w:val="20"/>
                <w:szCs w:val="20"/>
              </w:rPr>
            </w:r>
          </w:p>
        </w:tc>
        <w:tc>
          <w:tcPr>
            <w:tcW w:w="3674" w:type="dxa"/>
            <w:tcBorders/>
            <w:shd w:fill="auto" w:val="clear"/>
            <w:tcMar>
              <w:left w:w="98" w:type="dxa"/>
            </w:tcMar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cs="Times New Roman" w:ascii="Liberation Serif" w:hAnsi="Liberation Serif"/>
                <w:sz w:val="20"/>
                <w:szCs w:val="20"/>
              </w:rPr>
              <w:t>Итоговая ПЦ</w:t>
            </w:r>
          </w:p>
        </w:tc>
        <w:tc>
          <w:tcPr>
            <w:tcW w:w="5149" w:type="dxa"/>
            <w:tcBorders/>
            <w:shd w:fill="auto" w:val="clear"/>
            <w:tcMar>
              <w:left w:w="98" w:type="dxa"/>
            </w:tcMar>
            <w:vAlign w:val="center"/>
          </w:tcPr>
          <w:p>
            <w:pPr>
              <w:pStyle w:val="ListParagraph"/>
              <w:spacing w:lineRule="auto" w:line="240" w:before="0" w:after="0"/>
              <w:ind w:left="0" w:hanging="0"/>
              <w:rPr/>
            </w:pPr>
            <w:r>
              <w:rPr>
                <w:rFonts w:eastAsia="Calibri" w:cs="Times New Roman" w:ascii="Liberation Serif" w:hAnsi="Liberation Serif"/>
                <w:i/>
                <w:sz w:val="22"/>
                <w:szCs w:val="22"/>
                <w:lang w:eastAsia="en-US"/>
              </w:rPr>
              <w:t xml:space="preserve">14 564 919,79 </w:t>
            </w:r>
            <w:r>
              <w:rPr>
                <w:rFonts w:eastAsia="Calibri" w:cs="Times New Roman" w:ascii="Liberation Serif" w:hAnsi="Liberation Serif"/>
                <w:sz w:val="22"/>
                <w:szCs w:val="22"/>
              </w:rPr>
              <w:t>р</w:t>
            </w:r>
            <w:r>
              <w:rPr>
                <w:rFonts w:eastAsia="Calibri" w:cs="Times New Roman" w:ascii="Liberation Serif" w:hAnsi="Liberation Serif"/>
                <w:sz w:val="20"/>
                <w:szCs w:val="20"/>
              </w:rPr>
              <w:t>уб. без НДС</w:t>
            </w:r>
          </w:p>
        </w:tc>
      </w:tr>
    </w:tbl>
    <w:p>
      <w:pPr>
        <w:pStyle w:val="Normal"/>
        <w:rPr>
          <w:rFonts w:ascii="Liberation Serif" w:hAnsi="Liberation Serif"/>
          <w:b/>
          <w:b/>
          <w:sz w:val="20"/>
          <w:szCs w:val="20"/>
        </w:rPr>
      </w:pPr>
      <w:r>
        <w:rPr>
          <w:rFonts w:ascii="Liberation Serif" w:hAnsi="Liberation Serif"/>
          <w:b/>
          <w:sz w:val="20"/>
          <w:szCs w:val="20"/>
        </w:rPr>
      </w:r>
    </w:p>
    <w:p>
      <w:pPr>
        <w:pStyle w:val="Normal"/>
        <w:rPr>
          <w:b/>
          <w:b/>
          <w:sz w:val="20"/>
          <w:szCs w:val="20"/>
        </w:rPr>
      </w:pPr>
      <w:r>
        <w:rPr>
          <w:rFonts w:ascii="Liberation Serif" w:hAnsi="Liberation Serif"/>
          <w:b/>
          <w:sz w:val="20"/>
          <w:szCs w:val="20"/>
        </w:rPr>
        <w:t xml:space="preserve">Приложение: </w:t>
      </w:r>
      <w:r>
        <w:rPr>
          <w:rFonts w:ascii="Liberation Serif" w:hAnsi="Liberation Serif"/>
          <w:sz w:val="20"/>
          <w:szCs w:val="20"/>
        </w:rPr>
        <w:t>Сводная смета</w:t>
      </w:r>
    </w:p>
    <w:p>
      <w:pPr>
        <w:pStyle w:val="Normal"/>
        <w:rPr>
          <w:rFonts w:ascii="Liberation Serif" w:hAnsi="Liberation Serif"/>
          <w:b/>
          <w:b/>
          <w:sz w:val="20"/>
          <w:szCs w:val="20"/>
        </w:rPr>
      </w:pPr>
      <w:r>
        <w:rPr>
          <w:rFonts w:ascii="Liberation Serif" w:hAnsi="Liberation Serif"/>
          <w:b/>
          <w:sz w:val="20"/>
          <w:szCs w:val="20"/>
        </w:rPr>
      </w:r>
    </w:p>
    <w:p>
      <w:pPr>
        <w:pStyle w:val="Normal"/>
        <w:rPr>
          <w:rFonts w:ascii="Liberation Serif" w:hAnsi="Liberation Serif"/>
          <w:b/>
          <w:b/>
          <w:sz w:val="20"/>
          <w:szCs w:val="20"/>
        </w:rPr>
      </w:pPr>
      <w:r>
        <w:rPr>
          <w:rFonts w:ascii="Liberation Serif" w:hAnsi="Liberation Serif"/>
          <w:b/>
          <w:sz w:val="20"/>
          <w:szCs w:val="20"/>
        </w:rPr>
      </w:r>
    </w:p>
    <w:p>
      <w:pPr>
        <w:pStyle w:val="Normal"/>
        <w:rPr>
          <w:rFonts w:ascii="Liberation Serif" w:hAnsi="Liberation Serif"/>
          <w:b/>
          <w:b/>
          <w:sz w:val="20"/>
          <w:szCs w:val="20"/>
        </w:rPr>
      </w:pPr>
      <w:r>
        <w:rPr>
          <w:rFonts w:ascii="Liberation Serif" w:hAnsi="Liberation Serif"/>
          <w:b/>
          <w:sz w:val="20"/>
          <w:szCs w:val="20"/>
        </w:rPr>
      </w:r>
    </w:p>
    <w:p>
      <w:pPr>
        <w:pStyle w:val="Normal"/>
        <w:rPr>
          <w:rFonts w:ascii="Liberation Serif" w:hAnsi="Liberation Serif"/>
          <w:b/>
          <w:b/>
          <w:sz w:val="20"/>
          <w:szCs w:val="20"/>
        </w:rPr>
      </w:pPr>
      <w:r>
        <w:rPr>
          <w:rFonts w:ascii="Liberation Serif" w:hAnsi="Liberation Serif"/>
          <w:b/>
          <w:sz w:val="20"/>
          <w:szCs w:val="20"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6380480" cy="6560185"/>
            <wp:effectExtent l="0" t="0" r="0" b="0"/>
            <wp:wrapSquare wrapText="largest"/>
            <wp:docPr id="1" name="Объект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Объект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0480" cy="65601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type w:val="nextPage"/>
      <w:pgSz w:w="11906" w:h="16838"/>
      <w:pgMar w:left="1701" w:right="850" w:header="0" w:top="851" w:footer="0" w:bottom="113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408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ef726f"/>
    <w:pPr>
      <w:widowControl/>
      <w:bidi w:val="0"/>
      <w:spacing w:lineRule="auto" w:line="240" w:before="0" w:after="0"/>
      <w:jc w:val="both"/>
    </w:pPr>
    <w:rPr>
      <w:rFonts w:ascii="Times New Roman" w:hAnsi="Times New Roman" w:eastAsia="Times New Roman" w:cs="Times New Roman"/>
      <w:color w:val="00000A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Абзац списка Знак"/>
    <w:basedOn w:val="DefaultParagraphFont"/>
    <w:link w:val="a4"/>
    <w:uiPriority w:val="34"/>
    <w:qFormat/>
    <w:rsid w:val="00ef726f"/>
    <w:rPr>
      <w:rFonts w:ascii="Calibri" w:hAnsi="Calibri" w:eastAsia="Times New Roman" w:cs="Times New Roman"/>
      <w:szCs w:val="24"/>
      <w:lang w:eastAsia="ru-RU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3f791f"/>
    <w:rPr>
      <w:sz w:val="16"/>
      <w:szCs w:val="16"/>
    </w:rPr>
  </w:style>
  <w:style w:type="character" w:styleId="Style15" w:customStyle="1">
    <w:name w:val="Текст примечания Знак"/>
    <w:basedOn w:val="DefaultParagraphFont"/>
    <w:link w:val="a7"/>
    <w:uiPriority w:val="99"/>
    <w:semiHidden/>
    <w:qFormat/>
    <w:rsid w:val="003f791f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6" w:customStyle="1">
    <w:name w:val="Тема примечания Знак"/>
    <w:basedOn w:val="Style15"/>
    <w:link w:val="a9"/>
    <w:uiPriority w:val="99"/>
    <w:semiHidden/>
    <w:qFormat/>
    <w:rsid w:val="003f791f"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Style17" w:customStyle="1">
    <w:name w:val="Текст выноски Знак"/>
    <w:basedOn w:val="DefaultParagraphFont"/>
    <w:link w:val="ab"/>
    <w:uiPriority w:val="99"/>
    <w:semiHidden/>
    <w:qFormat/>
    <w:rsid w:val="003f791f"/>
    <w:rPr>
      <w:rFonts w:ascii="Segoe UI" w:hAnsi="Segoe UI" w:eastAsia="Times New Roman" w:cs="Segoe UI"/>
      <w:sz w:val="18"/>
      <w:szCs w:val="18"/>
      <w:lang w:eastAsia="ru-RU"/>
    </w:rPr>
  </w:style>
  <w:style w:type="character" w:styleId="ListLabel1">
    <w:name w:val="ListLabel 1"/>
    <w:qFormat/>
    <w:rPr>
      <w:b w:val="false"/>
    </w:rPr>
  </w:style>
  <w:style w:type="character" w:styleId="ListLabel2">
    <w:name w:val="ListLabel 2"/>
    <w:qFormat/>
    <w:rPr>
      <w:rFonts w:cs="Times New Roman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000000"/>
      <w:spacing w:val="0"/>
      <w:position w:val="0"/>
      <w:sz w:val="24"/>
      <w:sz w:val="24"/>
      <w:u w:val="none"/>
      <w:effect w:val="none"/>
      <w:vertAlign w:val="baseline"/>
      <w:em w:val="none"/>
    </w:rPr>
  </w:style>
  <w:style w:type="character" w:styleId="ListLabel3">
    <w:name w:val="ListLabel 3"/>
    <w:qFormat/>
    <w:rPr>
      <w:b w:val="false"/>
    </w:rPr>
  </w:style>
  <w:style w:type="character" w:styleId="ListLabel4">
    <w:name w:val="ListLabel 4"/>
    <w:qFormat/>
    <w:rPr>
      <w:b w:val="false"/>
    </w:rPr>
  </w:style>
  <w:style w:type="character" w:styleId="ListLabel5">
    <w:name w:val="ListLabel 5"/>
    <w:qFormat/>
    <w:rPr>
      <w:b w:val="false"/>
    </w:rPr>
  </w:style>
  <w:style w:type="character" w:styleId="ListLabel6">
    <w:name w:val="ListLabel 6"/>
    <w:qFormat/>
    <w:rPr>
      <w:b w:val="false"/>
    </w:rPr>
  </w:style>
  <w:style w:type="character" w:styleId="ListLabel7">
    <w:name w:val="ListLabel 7"/>
    <w:qFormat/>
    <w:rPr>
      <w:b w:val="false"/>
    </w:rPr>
  </w:style>
  <w:style w:type="character" w:styleId="ListLabel8">
    <w:name w:val="ListLabel 8"/>
    <w:qFormat/>
    <w:rPr>
      <w:b w:val="false"/>
    </w:rPr>
  </w:style>
  <w:style w:type="character" w:styleId="ListLabel9">
    <w:name w:val="ListLabel 9"/>
    <w:qFormat/>
    <w:rPr>
      <w:b w:val="false"/>
    </w:rPr>
  </w:style>
  <w:style w:type="paragraph" w:styleId="Style18">
    <w:name w:val="Заголовок"/>
    <w:basedOn w:val="Normal"/>
    <w:next w:val="Style19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Style19">
    <w:name w:val="Body Text"/>
    <w:basedOn w:val="Normal"/>
    <w:pPr>
      <w:spacing w:lineRule="auto" w:line="288" w:before="0" w:after="140"/>
    </w:pPr>
    <w:rPr/>
  </w:style>
  <w:style w:type="paragraph" w:styleId="Style20">
    <w:name w:val="List"/>
    <w:basedOn w:val="Style19"/>
    <w:pPr/>
    <w:rPr>
      <w:rFonts w:cs="Lohit Devanagari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link w:val="a5"/>
    <w:uiPriority w:val="34"/>
    <w:qFormat/>
    <w:rsid w:val="00ef726f"/>
    <w:pPr>
      <w:spacing w:lineRule="auto" w:line="276" w:before="0" w:after="200"/>
      <w:ind w:left="720" w:hanging="0"/>
      <w:contextualSpacing/>
      <w:jc w:val="left"/>
    </w:pPr>
    <w:rPr>
      <w:rFonts w:ascii="Calibri" w:hAnsi="Calibri"/>
      <w:sz w:val="22"/>
    </w:rPr>
  </w:style>
  <w:style w:type="paragraph" w:styleId="Annotationtext">
    <w:name w:val="annotation text"/>
    <w:basedOn w:val="Normal"/>
    <w:link w:val="a8"/>
    <w:uiPriority w:val="99"/>
    <w:semiHidden/>
    <w:unhideWhenUsed/>
    <w:qFormat/>
    <w:rsid w:val="003f791f"/>
    <w:pPr/>
    <w:rPr>
      <w:sz w:val="20"/>
      <w:szCs w:val="20"/>
    </w:rPr>
  </w:style>
  <w:style w:type="paragraph" w:styleId="Annotationsubject">
    <w:name w:val="annotation subject"/>
    <w:basedOn w:val="Annotationtext"/>
    <w:link w:val="aa"/>
    <w:uiPriority w:val="99"/>
    <w:semiHidden/>
    <w:unhideWhenUsed/>
    <w:qFormat/>
    <w:rsid w:val="003f791f"/>
    <w:pPr/>
    <w:rPr>
      <w:b/>
      <w:bCs/>
    </w:rPr>
  </w:style>
  <w:style w:type="paragraph" w:styleId="BalloonText">
    <w:name w:val="Balloon Text"/>
    <w:basedOn w:val="Normal"/>
    <w:link w:val="ac"/>
    <w:uiPriority w:val="99"/>
    <w:semiHidden/>
    <w:unhideWhenUsed/>
    <w:qFormat/>
    <w:rsid w:val="003f791f"/>
    <w:pPr/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ef726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emf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Application>LibreOffice/5.3.6.1$Linux_X86_64 LibreOffice_project/30$Build-1</Application>
  <Pages>2</Pages>
  <Words>195</Words>
  <Characters>1280</Characters>
  <CharactersWithSpaces>1423</CharactersWithSpaces>
  <Paragraphs>53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2023-03-01T06:43:00Z</dcterms:created>
  <dc:creator>Мешков Станислав Юрьевич</dc:creator>
  <dc:description/>
  <dc:language>ru-RU</dc:language>
  <cp:lastModifiedBy/>
  <dcterms:modified xsi:type="dcterms:W3CDTF">2024-01-09T16:32:59Z</dcterms:modified>
  <cp:revision>25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  <property fmtid="{D5CDD505-2E9C-101B-9397-08002B2CF9AE}" pid="8" name="_AdHocReviewCycleID">
    <vt:i4>-1431150333</vt:i4>
  </property>
  <property fmtid="{D5CDD505-2E9C-101B-9397-08002B2CF9AE}" pid="9" name="_AuthorEmail">
    <vt:lpwstr>Meshkov-SYU@amur.drsk.ru</vt:lpwstr>
  </property>
  <property fmtid="{D5CDD505-2E9C-101B-9397-08002B2CF9AE}" pid="10" name="_AuthorEmailDisplayName">
    <vt:lpwstr>Мешков С.Ю.</vt:lpwstr>
  </property>
  <property fmtid="{D5CDD505-2E9C-101B-9397-08002B2CF9AE}" pid="11" name="_EmailSubject">
    <vt:lpwstr/>
  </property>
  <property fmtid="{D5CDD505-2E9C-101B-9397-08002B2CF9AE}" pid="12" name="_NewReviewCycle">
    <vt:lpwstr/>
  </property>
  <property fmtid="{D5CDD505-2E9C-101B-9397-08002B2CF9AE}" pid="13" name="_ReviewingToolsShownOnce">
    <vt:lpwstr/>
  </property>
</Properties>
</file>